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pPr w:leftFromText="141" w:rightFromText="141" w:vertAnchor="text" w:tblpY="1"/>
        <w:tblOverlap w:val="never"/>
        <w:tblW w:w="0" w:type="auto"/>
        <w:tblLook w:val="04A0" w:firstRow="1" w:lastRow="0" w:firstColumn="1" w:lastColumn="0" w:noHBand="0" w:noVBand="1"/>
      </w:tblPr>
      <w:tblGrid>
        <w:gridCol w:w="338"/>
        <w:gridCol w:w="1983"/>
        <w:gridCol w:w="1984"/>
        <w:gridCol w:w="1922"/>
        <w:gridCol w:w="690"/>
        <w:gridCol w:w="792"/>
        <w:gridCol w:w="5368"/>
        <w:gridCol w:w="917"/>
      </w:tblGrid>
      <w:tr w:rsidR="00105881" w:rsidRPr="00AD18F5" w14:paraId="7607D6D3" w14:textId="77777777" w:rsidTr="00105881">
        <w:trPr>
          <w:gridAfter w:val="1"/>
          <w:wAfter w:w="917" w:type="dxa"/>
        </w:trPr>
        <w:tc>
          <w:tcPr>
            <w:tcW w:w="338" w:type="dxa"/>
            <w:hideMark/>
          </w:tcPr>
          <w:p w14:paraId="679ED12A" w14:textId="348A3DE8" w:rsidR="00105881" w:rsidRPr="00AD18F5" w:rsidRDefault="00105881" w:rsidP="00F4797A">
            <w:pPr>
              <w:spacing w:after="160" w:line="278" w:lineRule="auto"/>
            </w:pPr>
            <w:r>
              <w:t>1</w:t>
            </w:r>
          </w:p>
        </w:tc>
        <w:tc>
          <w:tcPr>
            <w:tcW w:w="1983" w:type="dxa"/>
          </w:tcPr>
          <w:p w14:paraId="0AA79799" w14:textId="77777777" w:rsidR="00105881" w:rsidRPr="00AD18F5" w:rsidRDefault="00105881" w:rsidP="00F4797A"/>
        </w:tc>
        <w:tc>
          <w:tcPr>
            <w:tcW w:w="1984" w:type="dxa"/>
          </w:tcPr>
          <w:p w14:paraId="5E58F074" w14:textId="4AD28E3D" w:rsidR="00105881" w:rsidRPr="00AD18F5" w:rsidRDefault="00105881" w:rsidP="00F4797A"/>
        </w:tc>
        <w:tc>
          <w:tcPr>
            <w:tcW w:w="2612" w:type="dxa"/>
            <w:gridSpan w:val="2"/>
            <w:hideMark/>
          </w:tcPr>
          <w:p w14:paraId="52CB30BE" w14:textId="0E0E86E0" w:rsidR="00105881" w:rsidRPr="00AD18F5" w:rsidRDefault="00105881" w:rsidP="00F4797A">
            <w:pPr>
              <w:spacing w:after="160" w:line="278" w:lineRule="auto"/>
            </w:pPr>
            <w:r w:rsidRPr="00AD18F5">
              <w:t>Przenośny zbiornik do wody 13 000 L – TANKER II</w:t>
            </w:r>
          </w:p>
        </w:tc>
        <w:tc>
          <w:tcPr>
            <w:tcW w:w="792" w:type="dxa"/>
            <w:hideMark/>
          </w:tcPr>
          <w:p w14:paraId="5819C5DC" w14:textId="77777777" w:rsidR="00105881" w:rsidRPr="00AD18F5" w:rsidRDefault="00105881" w:rsidP="00F4797A">
            <w:pPr>
              <w:spacing w:after="160" w:line="278" w:lineRule="auto"/>
            </w:pPr>
            <w:r w:rsidRPr="00AD18F5">
              <w:t>2</w:t>
            </w:r>
          </w:p>
        </w:tc>
        <w:tc>
          <w:tcPr>
            <w:tcW w:w="5368" w:type="dxa"/>
            <w:hideMark/>
          </w:tcPr>
          <w:p w14:paraId="06D943BC" w14:textId="31E830C2" w:rsidR="00105881" w:rsidRDefault="00105881" w:rsidP="00F4797A">
            <w:r>
              <w:t>Przenośny zbiornik na wodę TANKER II lub równoważny, przeznaczony do magazynowania i retencji wody podczas działań ratowniczo-gaśniczych, przeciwpowodziowych oraz z zakresu ochrony ludności i zarządzania kryzysowego.</w:t>
            </w:r>
          </w:p>
          <w:p w14:paraId="4F5DADC3" w14:textId="28A4333A" w:rsidR="00105881" w:rsidRDefault="00105881" w:rsidP="00F4797A">
            <w:r>
              <w:t>Zbiornik powinien posiadać pojemność nominalną 13 000 litrów (13 m³), wymiary po rozstawieniu około 4,0 × 4,0 × 1,0 m oraz konstrukcję umożliwiającą szybkie rozłożenie i złożenie przez maksymalnie dwie osoby w czasie nie dłuższym niż około 2 minut. Po złożeniu zbiornik powinien zajmować niewielką przestrzeń, umożliwiając wygodny transport i magazynowanie.</w:t>
            </w:r>
          </w:p>
          <w:p w14:paraId="4738832A" w14:textId="14110C6C" w:rsidR="00105881" w:rsidRDefault="00105881" w:rsidP="00F4797A">
            <w:r>
              <w:t>Zbiornik wykonany z materiałów o wysokiej odporności na uszkodzenia mechaniczne, działanie wody oraz warunków atmosferycznych. Konstrukcja powinna zapewniać stabilność podczas użytkowania oraz możliwość wielokrotnego rozkładania i składania bez pogorszenia właściwości użytkowych. Produkt powinien być przystosowany do współpracy z osprzętem stosowanym w systemach zaopatrzenia wodnego jednostek ochrony przeciwpożarowej.</w:t>
            </w:r>
          </w:p>
          <w:p w14:paraId="2882094D" w14:textId="156040D7" w:rsidR="00105881" w:rsidRDefault="00105881" w:rsidP="00F4797A">
            <w:r>
              <w:t>Produkt fabrycznie nowy, wolny od wad, posiadający wymagane prawem certyfikaty, deklaracje zgodności oraz dokumenty potwierdzające spełnienie obowiązujących wymagań.</w:t>
            </w:r>
          </w:p>
          <w:p w14:paraId="2AFE3A1B" w14:textId="1FAB921C" w:rsidR="00105881" w:rsidRPr="00AD18F5" w:rsidRDefault="00105881" w:rsidP="00F4797A">
            <w:pPr>
              <w:spacing w:after="160" w:line="278" w:lineRule="auto"/>
            </w:pPr>
            <w:r>
              <w:t xml:space="preserve">Dopuszcza się rozwiązania równoważne lub lepsze pod względem pojemności, wytrzymałości, </w:t>
            </w:r>
            <w:r>
              <w:lastRenderedPageBreak/>
              <w:t>trwałości, funkcjonalności oraz parametrów użytkowych.</w:t>
            </w:r>
          </w:p>
        </w:tc>
      </w:tr>
      <w:tr w:rsidR="00105881" w:rsidRPr="00AD18F5" w14:paraId="51EE2C4D" w14:textId="77777777" w:rsidTr="00105881">
        <w:trPr>
          <w:gridAfter w:val="1"/>
          <w:wAfter w:w="917" w:type="dxa"/>
        </w:trPr>
        <w:tc>
          <w:tcPr>
            <w:tcW w:w="338" w:type="dxa"/>
            <w:hideMark/>
          </w:tcPr>
          <w:p w14:paraId="5FDD0C7B" w14:textId="2C9ACCA5" w:rsidR="00105881" w:rsidRPr="00AD18F5" w:rsidRDefault="00105881" w:rsidP="00F4797A">
            <w:pPr>
              <w:spacing w:after="160" w:line="278" w:lineRule="auto"/>
            </w:pPr>
            <w:r w:rsidRPr="00AD18F5">
              <w:lastRenderedPageBreak/>
              <w:t>2</w:t>
            </w:r>
          </w:p>
        </w:tc>
        <w:tc>
          <w:tcPr>
            <w:tcW w:w="1983" w:type="dxa"/>
          </w:tcPr>
          <w:p w14:paraId="04DF9BA1" w14:textId="77777777" w:rsidR="00105881" w:rsidRPr="00AD18F5" w:rsidRDefault="00105881" w:rsidP="00F4797A"/>
        </w:tc>
        <w:tc>
          <w:tcPr>
            <w:tcW w:w="1984" w:type="dxa"/>
          </w:tcPr>
          <w:p w14:paraId="3ECEEF89" w14:textId="5A6F8F77" w:rsidR="00105881" w:rsidRPr="00AD18F5" w:rsidRDefault="00105881" w:rsidP="00F4797A"/>
        </w:tc>
        <w:tc>
          <w:tcPr>
            <w:tcW w:w="2612" w:type="dxa"/>
            <w:gridSpan w:val="2"/>
            <w:hideMark/>
          </w:tcPr>
          <w:p w14:paraId="3E34BF20" w14:textId="150D6B02" w:rsidR="00105881" w:rsidRPr="00AD18F5" w:rsidRDefault="00105881" w:rsidP="00F4797A">
            <w:pPr>
              <w:spacing w:after="160" w:line="278" w:lineRule="auto"/>
            </w:pPr>
            <w:r w:rsidRPr="00AD18F5">
              <w:t>Motopompa pływająca NIAGARA 2</w:t>
            </w:r>
          </w:p>
        </w:tc>
        <w:tc>
          <w:tcPr>
            <w:tcW w:w="792" w:type="dxa"/>
            <w:hideMark/>
          </w:tcPr>
          <w:p w14:paraId="0894F7E9" w14:textId="77777777" w:rsidR="00105881" w:rsidRPr="00AD18F5" w:rsidRDefault="00105881" w:rsidP="00F4797A">
            <w:pPr>
              <w:spacing w:after="160" w:line="278" w:lineRule="auto"/>
            </w:pPr>
            <w:r w:rsidRPr="00AD18F5">
              <w:t>2</w:t>
            </w:r>
          </w:p>
        </w:tc>
        <w:tc>
          <w:tcPr>
            <w:tcW w:w="5368" w:type="dxa"/>
            <w:hideMark/>
          </w:tcPr>
          <w:p w14:paraId="56B82D6F" w14:textId="0F849212" w:rsidR="00105881" w:rsidRDefault="00105881" w:rsidP="00F4797A">
            <w:r>
              <w:t>Motopompa pływająca NIAGARA 2 lub równoważna, przeznaczona do odwadniania terenów zalanych, usuwania skutków powodzi, działań ratowniczo-gaśniczych oraz realizacji zadań z zakresu ochrony ludności i zarządzania kryzysowego.</w:t>
            </w:r>
          </w:p>
          <w:p w14:paraId="78B1F62B" w14:textId="476BD985" w:rsidR="00105881" w:rsidRDefault="00105881" w:rsidP="00F4797A">
            <w:r>
              <w:t>Motopompa powinna zapewniać maksymalną wydajność minimum 1200 dm³/min, wydajność nominalną przy ciśnieniu 2 bar minimum 450 dm³/min, wysokość podnoszenia minimum 30 m słupa wody oraz możliwość pracy przy minimalnej głębokości zasysania 15 mm. Urządzenie powinno być wyposażone w nasadę tłoczną 75 mm, pływak umożliwiający pracę na powierzchni wody oraz silnik spalinowy o mocy minimum 3,2 kW (4,3 KM) lub równoważny.</w:t>
            </w:r>
          </w:p>
          <w:p w14:paraId="01BFC168" w14:textId="79DA513F" w:rsidR="00105881" w:rsidRDefault="00105881" w:rsidP="00F4797A">
            <w:r>
              <w:t>Konstrukcja motopompy powinna być wykonana z materiałów odpornych na korozję oraz uszkodzenia mechaniczne, umożliwiać ciągłą pracę w trudnych warunkach terenowych oraz zapewniać łatwy transport i obsługę. Urządzenie powinno być przystosowane do pompowania wody zanieczyszczonej drobnymi zanieczyszczeniami oraz posiadać możliwość pracy do całkowitego odpompowania wody.</w:t>
            </w:r>
          </w:p>
          <w:p w14:paraId="17C5DD93" w14:textId="30DF194C" w:rsidR="00105881" w:rsidRDefault="00105881" w:rsidP="00F4797A">
            <w:r>
              <w:t xml:space="preserve">Motopompa musi posiadać aktualne świadectwo dopuszczenia CNBOP-PIB, oznakowanie CE, deklarację zgodności UE oraz wymagane dokumenty </w:t>
            </w:r>
            <w:r>
              <w:lastRenderedPageBreak/>
              <w:t>potwierdzające zgodność z obowiązującymi przepisami.</w:t>
            </w:r>
          </w:p>
          <w:p w14:paraId="24E7211D" w14:textId="1CD21890" w:rsidR="00105881" w:rsidRPr="00AD18F5" w:rsidRDefault="00105881" w:rsidP="00F4797A">
            <w:pPr>
              <w:spacing w:after="160" w:line="278" w:lineRule="auto"/>
            </w:pPr>
            <w:r>
              <w:t>Dopuszcza się rozwiązania równoważne lub lepsze pod względem parametrów technicznych, wydajności, trwałości, funkcjonalności oraz właściwości użytkowych.</w:t>
            </w:r>
          </w:p>
        </w:tc>
      </w:tr>
      <w:tr w:rsidR="00105881" w:rsidRPr="00AD18F5" w14:paraId="1D95FE70" w14:textId="77777777" w:rsidTr="00105881">
        <w:trPr>
          <w:gridAfter w:val="1"/>
          <w:wAfter w:w="917" w:type="dxa"/>
        </w:trPr>
        <w:tc>
          <w:tcPr>
            <w:tcW w:w="338" w:type="dxa"/>
            <w:hideMark/>
          </w:tcPr>
          <w:p w14:paraId="39266CDA" w14:textId="49A9A8BD" w:rsidR="00105881" w:rsidRPr="00AD18F5" w:rsidRDefault="00105881" w:rsidP="00F4797A">
            <w:pPr>
              <w:spacing w:after="160" w:line="278" w:lineRule="auto"/>
            </w:pPr>
            <w:r w:rsidRPr="00AD18F5">
              <w:lastRenderedPageBreak/>
              <w:t>3</w:t>
            </w:r>
          </w:p>
        </w:tc>
        <w:tc>
          <w:tcPr>
            <w:tcW w:w="1983" w:type="dxa"/>
          </w:tcPr>
          <w:p w14:paraId="7DD88468" w14:textId="77777777" w:rsidR="00105881" w:rsidRPr="00AD18F5" w:rsidRDefault="00105881" w:rsidP="00F4797A"/>
        </w:tc>
        <w:tc>
          <w:tcPr>
            <w:tcW w:w="1984" w:type="dxa"/>
          </w:tcPr>
          <w:p w14:paraId="54CD5CDE" w14:textId="11622956" w:rsidR="00105881" w:rsidRPr="00AD18F5" w:rsidRDefault="00105881" w:rsidP="00F4797A"/>
        </w:tc>
        <w:tc>
          <w:tcPr>
            <w:tcW w:w="2612" w:type="dxa"/>
            <w:gridSpan w:val="2"/>
            <w:hideMark/>
          </w:tcPr>
          <w:p w14:paraId="122AA9BC" w14:textId="23C8435F" w:rsidR="00105881" w:rsidRPr="00AD18F5" w:rsidRDefault="00105881" w:rsidP="00F4797A">
            <w:pPr>
              <w:spacing w:after="160" w:line="278" w:lineRule="auto"/>
            </w:pPr>
            <w:r w:rsidRPr="00AD18F5">
              <w:t xml:space="preserve">Urządzenie do napełniania worków </w:t>
            </w:r>
            <w:proofErr w:type="spellStart"/>
            <w:r w:rsidRPr="00AD18F5">
              <w:t>SandPack</w:t>
            </w:r>
            <w:proofErr w:type="spellEnd"/>
            <w:r w:rsidRPr="00AD18F5">
              <w:t xml:space="preserve"> DUO</w:t>
            </w:r>
          </w:p>
        </w:tc>
        <w:tc>
          <w:tcPr>
            <w:tcW w:w="792" w:type="dxa"/>
            <w:hideMark/>
          </w:tcPr>
          <w:p w14:paraId="09BE502A" w14:textId="77777777" w:rsidR="00105881" w:rsidRPr="00AD18F5" w:rsidRDefault="00105881" w:rsidP="00F4797A">
            <w:pPr>
              <w:spacing w:after="160" w:line="278" w:lineRule="auto"/>
            </w:pPr>
            <w:r w:rsidRPr="00AD18F5">
              <w:t>3</w:t>
            </w:r>
          </w:p>
        </w:tc>
        <w:tc>
          <w:tcPr>
            <w:tcW w:w="5368" w:type="dxa"/>
            <w:hideMark/>
          </w:tcPr>
          <w:p w14:paraId="627084B8" w14:textId="5E1042CA" w:rsidR="00105881" w:rsidRDefault="00105881" w:rsidP="00F4797A">
            <w:r>
              <w:t xml:space="preserve">Urządzenie do napełniania worków </w:t>
            </w:r>
            <w:proofErr w:type="spellStart"/>
            <w:r>
              <w:t>SandPack</w:t>
            </w:r>
            <w:proofErr w:type="spellEnd"/>
            <w:r>
              <w:t xml:space="preserve"> DUO lub równoważne, przeznaczone do szybkiego napełniania worków piaskiem, ziemią lub innym materiałem sypkim podczas działań przeciwpowodziowych, usuwania skutków klęsk żywiołowych oraz realizacji zadań z zakresu ochrony ludności i zarządzania kryzysowego.</w:t>
            </w:r>
          </w:p>
          <w:p w14:paraId="52283A0C" w14:textId="3675BE3F" w:rsidR="00105881" w:rsidRDefault="00105881" w:rsidP="00F4797A">
            <w:r>
              <w:t>Urządzenie powinno umożliwiać jednoczesne napełnianie dwóch worków, zapewniając znaczne zwiększenie wydajności pracy w porównaniu z napełnianiem ręcznym. Konstrukcja powinna umożliwiać obsługę przez maksymalnie dwie osoby oraz zapewniać szybkie przygotowanie do pracy bez konieczności stosowania specjalistycznych narzędzi.</w:t>
            </w:r>
          </w:p>
          <w:p w14:paraId="14BA81FD" w14:textId="2C5AE7A7" w:rsidR="00105881" w:rsidRDefault="00105881" w:rsidP="00F4797A">
            <w:r>
              <w:t>Konstrukcja powinna być wykonana z materiałów odpornych na korozję, uszkodzenia mechaniczne oraz warunki atmosferyczne. Urządzenie powinno być składane lub umożliwiać łatwy transport i magazynowanie oraz współpracować z workami polipropylenowymi o pojemności około 25–30 kg lub równoważnymi. Powinno zapewniać stabilność podczas napełniania oraz umożliwiać bezpieczną i ergonomiczną pracę użytkowników.</w:t>
            </w:r>
          </w:p>
          <w:p w14:paraId="38EB9D72" w14:textId="2E4BC896" w:rsidR="00105881" w:rsidRDefault="00105881" w:rsidP="00F4797A">
            <w:r>
              <w:lastRenderedPageBreak/>
              <w:t>Produkt fabrycznie nowy, posiadający wymagane prawem deklaracje zgodności oraz dokumenty potwierdzające zgodność z obowiązującymi przepisami.</w:t>
            </w:r>
          </w:p>
          <w:p w14:paraId="1920E24A" w14:textId="4203E7C5" w:rsidR="00105881" w:rsidRPr="00AD18F5" w:rsidRDefault="00105881" w:rsidP="00F4797A">
            <w:pPr>
              <w:spacing w:after="160" w:line="278" w:lineRule="auto"/>
            </w:pPr>
            <w:r>
              <w:t>Dopuszcza się rozwiązania równoważne lub lepsze pod względem parametrów technicznych, wydajności, funkcjonalności, trwałości oraz właściwości użytkowych.</w:t>
            </w:r>
          </w:p>
        </w:tc>
      </w:tr>
      <w:tr w:rsidR="00105881" w:rsidRPr="00AD18F5" w14:paraId="3EC8B65E" w14:textId="77777777" w:rsidTr="00105881">
        <w:trPr>
          <w:gridAfter w:val="1"/>
          <w:wAfter w:w="917" w:type="dxa"/>
        </w:trPr>
        <w:tc>
          <w:tcPr>
            <w:tcW w:w="338" w:type="dxa"/>
            <w:hideMark/>
          </w:tcPr>
          <w:p w14:paraId="4C5455F5" w14:textId="63A47772" w:rsidR="00105881" w:rsidRPr="00AD18F5" w:rsidRDefault="00105881" w:rsidP="00F4797A">
            <w:pPr>
              <w:spacing w:after="160" w:line="278" w:lineRule="auto"/>
            </w:pPr>
            <w:r>
              <w:lastRenderedPageBreak/>
              <w:t>4</w:t>
            </w:r>
          </w:p>
        </w:tc>
        <w:tc>
          <w:tcPr>
            <w:tcW w:w="1983" w:type="dxa"/>
          </w:tcPr>
          <w:p w14:paraId="565483CF" w14:textId="77777777" w:rsidR="00105881" w:rsidRPr="00AD18F5" w:rsidRDefault="00105881" w:rsidP="00F4797A"/>
        </w:tc>
        <w:tc>
          <w:tcPr>
            <w:tcW w:w="1984" w:type="dxa"/>
          </w:tcPr>
          <w:p w14:paraId="287DDA98" w14:textId="765C8483" w:rsidR="00105881" w:rsidRPr="00AD18F5" w:rsidRDefault="00105881" w:rsidP="00F4797A"/>
        </w:tc>
        <w:tc>
          <w:tcPr>
            <w:tcW w:w="2612" w:type="dxa"/>
            <w:gridSpan w:val="2"/>
            <w:hideMark/>
          </w:tcPr>
          <w:p w14:paraId="5A72858C" w14:textId="657083D1" w:rsidR="00105881" w:rsidRPr="00AD18F5" w:rsidRDefault="00105881" w:rsidP="00F4797A">
            <w:pPr>
              <w:spacing w:after="160" w:line="278" w:lineRule="auto"/>
            </w:pPr>
            <w:r w:rsidRPr="00AD18F5">
              <w:t>Motopompa do wody brudnej – szlamowa WT 30x</w:t>
            </w:r>
          </w:p>
        </w:tc>
        <w:tc>
          <w:tcPr>
            <w:tcW w:w="792" w:type="dxa"/>
            <w:hideMark/>
          </w:tcPr>
          <w:p w14:paraId="767A3B20" w14:textId="77777777" w:rsidR="00105881" w:rsidRPr="00AD18F5" w:rsidRDefault="00105881" w:rsidP="00F4797A">
            <w:pPr>
              <w:spacing w:after="160" w:line="278" w:lineRule="auto"/>
            </w:pPr>
            <w:r w:rsidRPr="00AD18F5">
              <w:t>1</w:t>
            </w:r>
          </w:p>
        </w:tc>
        <w:tc>
          <w:tcPr>
            <w:tcW w:w="5368" w:type="dxa"/>
            <w:hideMark/>
          </w:tcPr>
          <w:p w14:paraId="16B79BE8" w14:textId="77777777" w:rsidR="00105881" w:rsidRDefault="00105881" w:rsidP="00F4797A"/>
          <w:p w14:paraId="11DA58EF" w14:textId="3D481D4B" w:rsidR="00105881" w:rsidRDefault="00105881" w:rsidP="00F4797A">
            <w:r>
              <w:t>Motopompa do wody brudnej – szlamowa WT 30X lub równoważna, przeznaczona do odwadniania terenów zalanych, usuwania skutków powodzi, przepompowywania wody zanieczyszczonej oraz prowadzenia działań ratowniczo-gaśniczych, z zakresu ochrony ludności i zarządzania kryzysowego.</w:t>
            </w:r>
          </w:p>
          <w:p w14:paraId="0EF3C4EF" w14:textId="646CCED8" w:rsidR="00105881" w:rsidRDefault="00105881" w:rsidP="00F4797A">
            <w:r>
              <w:t>Motopompa powinna zapewniać maksymalną wydajność minimum 1200 l/min, wysokość podnoszenia minimum 25 m, wysokość ssania minimum 8 m oraz możliwość pompowania wody zawierającej zanieczyszczenia stałe o średnicy minimum 28 mm. Urządzenie powinno być wyposażone w króćce ssawne i tłoczne o średnicy 3 cale, silnik spalinowy o mocy minimum 6,3 kW (8,4 KM) lub równoważnej oraz zbiornik paliwa o pojemności minimum 5,3 l.</w:t>
            </w:r>
          </w:p>
          <w:p w14:paraId="1EDF70DE" w14:textId="29D8276A" w:rsidR="00105881" w:rsidRDefault="00105881" w:rsidP="00F4797A">
            <w:r>
              <w:t xml:space="preserve">Konstrukcja motopompy powinna być wykonana z materiałów odpornych na korozję i uszkodzenia mechaniczne, wyposażona w żeliwny wirnik, metalowy kosz ssawny zabezpieczający przed </w:t>
            </w:r>
            <w:r>
              <w:lastRenderedPageBreak/>
              <w:t>większymi zanieczyszczeniami oraz system zabezpieczenia silnika przed pracą przy zbyt niskim poziomie oleju. Urządzenie powinno zapewniać niezawodną pracę w trudnych warunkach terenowych oraz możliwość łatwego transportu i obsługi.</w:t>
            </w:r>
          </w:p>
          <w:p w14:paraId="1134FF7B" w14:textId="1004F92F" w:rsidR="00105881" w:rsidRDefault="00105881" w:rsidP="00F4797A">
            <w:r>
              <w:t>W zestawie powinny znajdować się co najmniej: motopompa, metalowy kosz ssawny, nasady, opaski zaciskowe, klucz do korpusu i świecy oraz instrukcja obsługi. Produkt musi posiadać aktualne świadectwo dopuszczenia CNBOP-PIB, oznakowanie CE, deklarację zgodności UE oraz wymagane dokumenty potwierdzające zgodność z obowiązującymi przepisami.</w:t>
            </w:r>
          </w:p>
          <w:p w14:paraId="39CE6A17" w14:textId="3939CB28" w:rsidR="00105881" w:rsidRPr="00AD18F5" w:rsidRDefault="00105881" w:rsidP="00F4797A">
            <w:pPr>
              <w:spacing w:after="160" w:line="278" w:lineRule="auto"/>
            </w:pPr>
            <w:r>
              <w:t>Dopuszcza się rozwiązania równoważne lub lepsze pod względem parametrów technicznych, wydajności, trwałości, funkcjonalności oraz właściwości użytkowych.</w:t>
            </w:r>
          </w:p>
        </w:tc>
      </w:tr>
      <w:tr w:rsidR="00105881" w14:paraId="57F7C6C9" w14:textId="77777777" w:rsidTr="00105881">
        <w:tc>
          <w:tcPr>
            <w:tcW w:w="338" w:type="dxa"/>
            <w:tcBorders>
              <w:top w:val="single" w:sz="4" w:space="0" w:color="auto"/>
              <w:left w:val="single" w:sz="4" w:space="0" w:color="auto"/>
              <w:bottom w:val="single" w:sz="4" w:space="0" w:color="auto"/>
              <w:right w:val="single" w:sz="4" w:space="0" w:color="auto"/>
            </w:tcBorders>
            <w:hideMark/>
          </w:tcPr>
          <w:p w14:paraId="44D32F35" w14:textId="37576DEE" w:rsidR="00105881" w:rsidRDefault="00105881" w:rsidP="00102029">
            <w:pPr>
              <w:rPr>
                <w:b/>
                <w:bCs/>
              </w:rPr>
            </w:pPr>
            <w:r>
              <w:rPr>
                <w:b/>
                <w:bCs/>
              </w:rPr>
              <w:lastRenderedPageBreak/>
              <w:t>1</w:t>
            </w:r>
          </w:p>
        </w:tc>
        <w:tc>
          <w:tcPr>
            <w:tcW w:w="1983" w:type="dxa"/>
            <w:tcBorders>
              <w:top w:val="single" w:sz="4" w:space="0" w:color="auto"/>
              <w:left w:val="single" w:sz="4" w:space="0" w:color="auto"/>
              <w:bottom w:val="single" w:sz="4" w:space="0" w:color="auto"/>
              <w:right w:val="single" w:sz="4" w:space="0" w:color="auto"/>
            </w:tcBorders>
          </w:tcPr>
          <w:p w14:paraId="6849A25F" w14:textId="77777777" w:rsidR="00105881" w:rsidRDefault="00105881" w:rsidP="00102029"/>
        </w:tc>
        <w:tc>
          <w:tcPr>
            <w:tcW w:w="1984" w:type="dxa"/>
            <w:tcBorders>
              <w:top w:val="single" w:sz="4" w:space="0" w:color="auto"/>
              <w:left w:val="single" w:sz="4" w:space="0" w:color="auto"/>
              <w:bottom w:val="single" w:sz="4" w:space="0" w:color="auto"/>
              <w:right w:val="single" w:sz="4" w:space="0" w:color="auto"/>
            </w:tcBorders>
          </w:tcPr>
          <w:p w14:paraId="1910B5FF" w14:textId="03517D89" w:rsidR="00105881" w:rsidRDefault="00105881" w:rsidP="00102029"/>
        </w:tc>
        <w:tc>
          <w:tcPr>
            <w:tcW w:w="1922" w:type="dxa"/>
            <w:tcBorders>
              <w:top w:val="single" w:sz="4" w:space="0" w:color="auto"/>
              <w:left w:val="single" w:sz="4" w:space="0" w:color="auto"/>
              <w:bottom w:val="single" w:sz="4" w:space="0" w:color="auto"/>
              <w:right w:val="single" w:sz="4" w:space="0" w:color="auto"/>
            </w:tcBorders>
            <w:hideMark/>
          </w:tcPr>
          <w:p w14:paraId="74C6D5A0" w14:textId="7F37C1BF" w:rsidR="00105881" w:rsidRDefault="00105881" w:rsidP="00102029">
            <w:r>
              <w:t>Mobilna stacja uzdatniania wody</w:t>
            </w:r>
          </w:p>
        </w:tc>
        <w:tc>
          <w:tcPr>
            <w:tcW w:w="690" w:type="dxa"/>
            <w:tcBorders>
              <w:top w:val="single" w:sz="4" w:space="0" w:color="auto"/>
              <w:left w:val="single" w:sz="4" w:space="0" w:color="auto"/>
              <w:bottom w:val="single" w:sz="4" w:space="0" w:color="auto"/>
              <w:right w:val="single" w:sz="4" w:space="0" w:color="auto"/>
            </w:tcBorders>
            <w:hideMark/>
          </w:tcPr>
          <w:p w14:paraId="0AFE3F02" w14:textId="77777777" w:rsidR="00105881" w:rsidRDefault="00105881" w:rsidP="00102029">
            <w:r>
              <w:t>1</w:t>
            </w:r>
          </w:p>
        </w:tc>
        <w:tc>
          <w:tcPr>
            <w:tcW w:w="7077" w:type="dxa"/>
            <w:gridSpan w:val="3"/>
            <w:tcBorders>
              <w:top w:val="single" w:sz="4" w:space="0" w:color="auto"/>
              <w:left w:val="single" w:sz="4" w:space="0" w:color="auto"/>
              <w:bottom w:val="single" w:sz="4" w:space="0" w:color="auto"/>
              <w:right w:val="single" w:sz="4" w:space="0" w:color="auto"/>
            </w:tcBorders>
          </w:tcPr>
          <w:p w14:paraId="0A52A17D" w14:textId="77777777" w:rsidR="00105881" w:rsidRDefault="00105881" w:rsidP="00102029">
            <w:r>
              <w:t>Mobilna stacja uzdatniania wody, przeznaczona do uzdatniania wody na potrzeby działań z zakresu ochrony ludności, zarządzania kryzysowego, usuwania skutków klęsk żywiołowych oraz zapewnienia dostępu do bezpiecznej wody użytkowej i pitnej w sytuacjach kryzysowych.</w:t>
            </w:r>
          </w:p>
          <w:p w14:paraId="1F09F900" w14:textId="77777777" w:rsidR="00105881" w:rsidRDefault="00105881" w:rsidP="00102029">
            <w:r>
              <w:t xml:space="preserve">Stacja powinna zapewniać skuteczne usuwanie zanieczyszczeń mechanicznych oraz ograniczenie twardości wody poprzez zastosowanie wielostopniowego procesu filtracji i uzdatniania. Urządzenie powinno umożliwiać pracę w trybie automatycznym, być przystosowane do pracy ciągłej oraz zapewniać wysoką wydajność umożliwiającą uzdatnianie co najmniej kilkuset litrów wody na </w:t>
            </w:r>
            <w:r>
              <w:lastRenderedPageBreak/>
              <w:t>godzinę. Konstrukcja powinna umożliwiać współpracę z systemami filtracji, zmiękczania oraz odwróconej osmozy lub rozwiązaniami równoważnymi.</w:t>
            </w:r>
          </w:p>
          <w:p w14:paraId="5CA23E81" w14:textId="77777777" w:rsidR="00105881" w:rsidRDefault="00105881" w:rsidP="00102029">
            <w:r>
              <w:t>Stacja powinna być wykonana z materiałów odpornych na korozję oraz uszkodzenia mechaniczne, zapewniać łatwą obsługę, prostą wymianę materiałów eksploatacyjnych oraz możliwość pracy bez stałego nadzoru operatora. Konstrukcja powinna umożliwiać łatwy transport, instalację i eksploatację w warunkach terenowych oraz zapewniać niezawodną pracę w sytuacjach kryzysowych.</w:t>
            </w:r>
          </w:p>
          <w:p w14:paraId="5744BBF8" w14:textId="77777777" w:rsidR="00105881" w:rsidRDefault="00105881" w:rsidP="00102029">
            <w:r>
              <w:t>W zestawie powinny znajdować się co najmniej: stacja uzdatniania wody, komplet niezbędnych elementów przyłączeniowych, materiały eksploatacyjne wymagane do uruchomienia, instrukcja obsługi oraz dokumentacja techniczna. Produkt fabrycznie nowy, posiadający oznakowanie CE, deklarację zgodności UE oraz wymagane dokumenty potwierdzające zgodność z obowiązującymi przepisami.</w:t>
            </w:r>
          </w:p>
          <w:p w14:paraId="02EC0286" w14:textId="77777777" w:rsidR="00105881" w:rsidRDefault="00105881" w:rsidP="00102029"/>
          <w:p w14:paraId="33297199" w14:textId="77777777" w:rsidR="00105881" w:rsidRDefault="00105881" w:rsidP="00102029">
            <w:r>
              <w:t>Dopuszcza się rozwiązania równoważne lub lepsze pod względem parametrów technicznych, wydajności, funkcjonalności, trwałości oraz właściwości użytkowych.</w:t>
            </w:r>
          </w:p>
        </w:tc>
      </w:tr>
    </w:tbl>
    <w:p w14:paraId="5791F372" w14:textId="77777777" w:rsidR="009E15A8" w:rsidRDefault="009E15A8" w:rsidP="009E15A8"/>
    <w:p w14:paraId="59254902" w14:textId="77777777" w:rsidR="00851976" w:rsidRDefault="00851976"/>
    <w:sectPr w:rsidR="00851976" w:rsidSect="00AD18F5">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86853" w14:textId="77777777" w:rsidR="00C65DFF" w:rsidRDefault="00C65DFF" w:rsidP="002865F3">
      <w:pPr>
        <w:spacing w:after="0" w:line="240" w:lineRule="auto"/>
      </w:pPr>
      <w:r>
        <w:separator/>
      </w:r>
    </w:p>
  </w:endnote>
  <w:endnote w:type="continuationSeparator" w:id="0">
    <w:p w14:paraId="5CD4C754" w14:textId="77777777" w:rsidR="00C65DFF" w:rsidRDefault="00C65DFF" w:rsidP="00286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7047298"/>
      <w:docPartObj>
        <w:docPartGallery w:val="Page Numbers (Bottom of Page)"/>
        <w:docPartUnique/>
      </w:docPartObj>
    </w:sdtPr>
    <w:sdtContent>
      <w:p w14:paraId="3E58B830" w14:textId="1A42CA4B" w:rsidR="002865F3" w:rsidRDefault="002865F3">
        <w:pPr>
          <w:pStyle w:val="Stopka"/>
          <w:jc w:val="right"/>
        </w:pPr>
        <w:r>
          <w:fldChar w:fldCharType="begin"/>
        </w:r>
        <w:r>
          <w:instrText>PAGE   \* MERGEFORMAT</w:instrText>
        </w:r>
        <w:r>
          <w:fldChar w:fldCharType="separate"/>
        </w:r>
        <w:r>
          <w:t>2</w:t>
        </w:r>
        <w:r>
          <w:fldChar w:fldCharType="end"/>
        </w:r>
      </w:p>
    </w:sdtContent>
  </w:sdt>
  <w:p w14:paraId="6DA42A7A" w14:textId="77777777" w:rsidR="002865F3" w:rsidRDefault="002865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56752" w14:textId="77777777" w:rsidR="00C65DFF" w:rsidRDefault="00C65DFF" w:rsidP="002865F3">
      <w:pPr>
        <w:spacing w:after="0" w:line="240" w:lineRule="auto"/>
      </w:pPr>
      <w:r>
        <w:separator/>
      </w:r>
    </w:p>
  </w:footnote>
  <w:footnote w:type="continuationSeparator" w:id="0">
    <w:p w14:paraId="0A587693" w14:textId="77777777" w:rsidR="00C65DFF" w:rsidRDefault="00C65DFF" w:rsidP="002865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D44080"/>
    <w:multiLevelType w:val="multilevel"/>
    <w:tmpl w:val="3B6C0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1921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8F5"/>
    <w:rsid w:val="00044210"/>
    <w:rsid w:val="000E7114"/>
    <w:rsid w:val="00105881"/>
    <w:rsid w:val="00197AEF"/>
    <w:rsid w:val="001B6260"/>
    <w:rsid w:val="002865F3"/>
    <w:rsid w:val="003219A5"/>
    <w:rsid w:val="003A41DC"/>
    <w:rsid w:val="00561DA0"/>
    <w:rsid w:val="00691E9E"/>
    <w:rsid w:val="0082098E"/>
    <w:rsid w:val="00851976"/>
    <w:rsid w:val="008B4269"/>
    <w:rsid w:val="008E7E89"/>
    <w:rsid w:val="0090781A"/>
    <w:rsid w:val="009078CA"/>
    <w:rsid w:val="00932E61"/>
    <w:rsid w:val="0094014A"/>
    <w:rsid w:val="009828D8"/>
    <w:rsid w:val="009B4220"/>
    <w:rsid w:val="009D6F87"/>
    <w:rsid w:val="009E0D20"/>
    <w:rsid w:val="009E15A8"/>
    <w:rsid w:val="00A357A9"/>
    <w:rsid w:val="00A432CE"/>
    <w:rsid w:val="00A46011"/>
    <w:rsid w:val="00AA74CD"/>
    <w:rsid w:val="00AB15EE"/>
    <w:rsid w:val="00AC4CB3"/>
    <w:rsid w:val="00AD18F5"/>
    <w:rsid w:val="00B12524"/>
    <w:rsid w:val="00B53E6A"/>
    <w:rsid w:val="00C65DFF"/>
    <w:rsid w:val="00DB6BE7"/>
    <w:rsid w:val="00E27415"/>
    <w:rsid w:val="00F4797A"/>
    <w:rsid w:val="00FC1E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2659E"/>
  <w15:chartTrackingRefBased/>
  <w15:docId w15:val="{4348AD5F-AAFE-45E5-A8CD-838AD6B31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D18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AD18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AD18F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D18F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D18F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D18F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D18F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D18F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D18F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D18F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AD18F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AD18F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D18F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D18F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D18F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D18F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D18F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D18F5"/>
    <w:rPr>
      <w:rFonts w:eastAsiaTheme="majorEastAsia" w:cstheme="majorBidi"/>
      <w:color w:val="272727" w:themeColor="text1" w:themeTint="D8"/>
    </w:rPr>
  </w:style>
  <w:style w:type="paragraph" w:styleId="Tytu">
    <w:name w:val="Title"/>
    <w:basedOn w:val="Normalny"/>
    <w:next w:val="Normalny"/>
    <w:link w:val="TytuZnak"/>
    <w:uiPriority w:val="10"/>
    <w:qFormat/>
    <w:rsid w:val="00AD1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D18F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D18F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D18F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D18F5"/>
    <w:pPr>
      <w:spacing w:before="160"/>
      <w:jc w:val="center"/>
    </w:pPr>
    <w:rPr>
      <w:i/>
      <w:iCs/>
      <w:color w:val="404040" w:themeColor="text1" w:themeTint="BF"/>
    </w:rPr>
  </w:style>
  <w:style w:type="character" w:customStyle="1" w:styleId="CytatZnak">
    <w:name w:val="Cytat Znak"/>
    <w:basedOn w:val="Domylnaczcionkaakapitu"/>
    <w:link w:val="Cytat"/>
    <w:uiPriority w:val="29"/>
    <w:rsid w:val="00AD18F5"/>
    <w:rPr>
      <w:i/>
      <w:iCs/>
      <w:color w:val="404040" w:themeColor="text1" w:themeTint="BF"/>
    </w:rPr>
  </w:style>
  <w:style w:type="paragraph" w:styleId="Akapitzlist">
    <w:name w:val="List Paragraph"/>
    <w:basedOn w:val="Normalny"/>
    <w:uiPriority w:val="34"/>
    <w:qFormat/>
    <w:rsid w:val="00AD18F5"/>
    <w:pPr>
      <w:ind w:left="720"/>
      <w:contextualSpacing/>
    </w:pPr>
  </w:style>
  <w:style w:type="character" w:styleId="Wyrnienieintensywne">
    <w:name w:val="Intense Emphasis"/>
    <w:basedOn w:val="Domylnaczcionkaakapitu"/>
    <w:uiPriority w:val="21"/>
    <w:qFormat/>
    <w:rsid w:val="00AD18F5"/>
    <w:rPr>
      <w:i/>
      <w:iCs/>
      <w:color w:val="2F5496" w:themeColor="accent1" w:themeShade="BF"/>
    </w:rPr>
  </w:style>
  <w:style w:type="paragraph" w:styleId="Cytatintensywny">
    <w:name w:val="Intense Quote"/>
    <w:basedOn w:val="Normalny"/>
    <w:next w:val="Normalny"/>
    <w:link w:val="CytatintensywnyZnak"/>
    <w:uiPriority w:val="30"/>
    <w:qFormat/>
    <w:rsid w:val="00AD18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D18F5"/>
    <w:rPr>
      <w:i/>
      <w:iCs/>
      <w:color w:val="2F5496" w:themeColor="accent1" w:themeShade="BF"/>
    </w:rPr>
  </w:style>
  <w:style w:type="character" w:styleId="Odwoanieintensywne">
    <w:name w:val="Intense Reference"/>
    <w:basedOn w:val="Domylnaczcionkaakapitu"/>
    <w:uiPriority w:val="32"/>
    <w:qFormat/>
    <w:rsid w:val="00AD18F5"/>
    <w:rPr>
      <w:b/>
      <w:bCs/>
      <w:smallCaps/>
      <w:color w:val="2F5496" w:themeColor="accent1" w:themeShade="BF"/>
      <w:spacing w:val="5"/>
    </w:rPr>
  </w:style>
  <w:style w:type="table" w:styleId="Tabela-Siatka">
    <w:name w:val="Table Grid"/>
    <w:basedOn w:val="Standardowy"/>
    <w:uiPriority w:val="39"/>
    <w:rsid w:val="00AD1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865F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865F3"/>
  </w:style>
  <w:style w:type="paragraph" w:styleId="Stopka">
    <w:name w:val="footer"/>
    <w:basedOn w:val="Normalny"/>
    <w:link w:val="StopkaZnak"/>
    <w:uiPriority w:val="99"/>
    <w:unhideWhenUsed/>
    <w:rsid w:val="002865F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865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8AE93-7539-44D2-9F55-A99F73AC3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1067</Words>
  <Characters>6407</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Miłosz Kubiak</dc:creator>
  <cp:keywords/>
  <dc:description/>
  <cp:lastModifiedBy>UMIG Góra</cp:lastModifiedBy>
  <cp:revision>9</cp:revision>
  <dcterms:created xsi:type="dcterms:W3CDTF">2026-07-20T07:16:00Z</dcterms:created>
  <dcterms:modified xsi:type="dcterms:W3CDTF">2026-07-20T11:26:00Z</dcterms:modified>
</cp:coreProperties>
</file>